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B3" w:rsidRDefault="00BA52B3" w:rsidP="00BA52B3">
      <w:pPr>
        <w:spacing w:line="276" w:lineRule="auto"/>
        <w:rPr>
          <w:rFonts w:ascii="Copperplate Gothic Light" w:hAnsi="Copperplate Gothic Light"/>
          <w:b/>
          <w:caps/>
          <w:color w:val="262626" w:themeColor="text1" w:themeTint="D9"/>
          <w:sz w:val="36"/>
          <w:szCs w:val="44"/>
        </w:rPr>
      </w:pPr>
    </w:p>
    <w:p w:rsidR="00BA52B3" w:rsidRDefault="00BA52B3" w:rsidP="00BA52B3">
      <w:pPr>
        <w:spacing w:line="276" w:lineRule="auto"/>
        <w:jc w:val="center"/>
        <w:rPr>
          <w:rFonts w:ascii="Copperplate Gothic Light" w:hAnsi="Copperplate Gothic Light"/>
          <w:b/>
          <w:caps/>
          <w:color w:val="262626" w:themeColor="text1" w:themeTint="D9"/>
          <w:sz w:val="36"/>
          <w:szCs w:val="44"/>
        </w:rPr>
      </w:pPr>
      <w:r>
        <w:rPr>
          <w:rFonts w:ascii="Times New Roman"/>
          <w:noProof/>
          <w:sz w:val="20"/>
        </w:rPr>
        <w:drawing>
          <wp:inline distT="0" distB="0" distL="0" distR="0" wp14:anchorId="65E69944" wp14:editId="5A92AB3B">
            <wp:extent cx="2913436" cy="742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913436" cy="742950"/>
                    </a:xfrm>
                    <a:prstGeom prst="rect">
                      <a:avLst/>
                    </a:prstGeom>
                  </pic:spPr>
                </pic:pic>
              </a:graphicData>
            </a:graphic>
          </wp:inline>
        </w:drawing>
      </w:r>
    </w:p>
    <w:p w:rsidR="00BA52B3" w:rsidRDefault="00BA52B3" w:rsidP="00BA52B3">
      <w:pPr>
        <w:spacing w:line="276" w:lineRule="auto"/>
        <w:rPr>
          <w:rFonts w:ascii="Copperplate Gothic Light" w:hAnsi="Copperplate Gothic Light"/>
          <w:b/>
          <w:caps/>
          <w:color w:val="262626" w:themeColor="text1" w:themeTint="D9"/>
          <w:sz w:val="36"/>
          <w:szCs w:val="44"/>
        </w:rPr>
      </w:pPr>
    </w:p>
    <w:p w:rsidR="00BA52B3" w:rsidRPr="00942505" w:rsidRDefault="00BA52B3" w:rsidP="00BA52B3">
      <w:pPr>
        <w:spacing w:line="276" w:lineRule="auto"/>
        <w:rPr>
          <w:rFonts w:ascii="Copperplate Gothic Light" w:hAnsi="Copperplate Gothic Light"/>
          <w:b/>
          <w:caps/>
          <w:color w:val="262626" w:themeColor="text1" w:themeTint="D9"/>
          <w:sz w:val="36"/>
          <w:szCs w:val="44"/>
        </w:rPr>
      </w:pPr>
      <w:r w:rsidRPr="00942505">
        <w:rPr>
          <w:rFonts w:ascii="Copperplate Gothic Light" w:hAnsi="Copperplate Gothic Light"/>
          <w:b/>
          <w:caps/>
          <w:color w:val="262626" w:themeColor="text1" w:themeTint="D9"/>
          <w:sz w:val="36"/>
          <w:szCs w:val="44"/>
        </w:rPr>
        <w:t>Financial</w:t>
      </w:r>
    </w:p>
    <w:p w:rsidR="00BA52B3" w:rsidRDefault="00BA52B3" w:rsidP="00BA52B3">
      <w:pPr>
        <w:jc w:val="center"/>
        <w:rPr>
          <w:rFonts w:ascii="Californian FB" w:eastAsia="Times New Roman" w:hAnsi="Californian FB"/>
          <w:b/>
          <w:color w:val="262626" w:themeColor="text1" w:themeTint="D9"/>
          <w:sz w:val="26"/>
          <w:szCs w:val="26"/>
        </w:rPr>
      </w:pPr>
    </w:p>
    <w:p w:rsidR="00BA52B3" w:rsidRDefault="00BA52B3" w:rsidP="00BA52B3">
      <w:pPr>
        <w:jc w:val="center"/>
        <w:rPr>
          <w:rFonts w:ascii="Californian FB" w:eastAsia="Times New Roman" w:hAnsi="Californian FB"/>
          <w:b/>
          <w:color w:val="262626" w:themeColor="text1" w:themeTint="D9"/>
          <w:sz w:val="26"/>
          <w:szCs w:val="26"/>
        </w:rPr>
      </w:pPr>
    </w:p>
    <w:p w:rsidR="00BA52B3" w:rsidRDefault="00BA52B3" w:rsidP="00BA52B3">
      <w:pPr>
        <w:jc w:val="center"/>
        <w:rPr>
          <w:rFonts w:ascii="Californian FB" w:eastAsia="Times New Roman" w:hAnsi="Californian FB"/>
          <w:b/>
          <w:color w:val="262626" w:themeColor="text1" w:themeTint="D9"/>
          <w:sz w:val="26"/>
          <w:szCs w:val="26"/>
        </w:rPr>
      </w:pPr>
    </w:p>
    <w:p w:rsidR="00BA52B3" w:rsidRDefault="00BA52B3" w:rsidP="00BA52B3">
      <w:pPr>
        <w:jc w:val="center"/>
        <w:rPr>
          <w:rFonts w:ascii="Californian FB" w:eastAsia="Times New Roman" w:hAnsi="Californian FB"/>
          <w:b/>
          <w:color w:val="262626" w:themeColor="text1" w:themeTint="D9"/>
          <w:sz w:val="26"/>
          <w:szCs w:val="26"/>
        </w:rPr>
      </w:pPr>
      <w:bookmarkStart w:id="0" w:name="_GoBack"/>
      <w:bookmarkEnd w:id="0"/>
      <w:r>
        <w:rPr>
          <w:rFonts w:ascii="Californian FB" w:eastAsia="Times New Roman" w:hAnsi="Californian FB"/>
          <w:b/>
          <w:color w:val="262626" w:themeColor="text1" w:themeTint="D9"/>
          <w:sz w:val="26"/>
          <w:szCs w:val="26"/>
        </w:rPr>
        <w:t>2021-202</w:t>
      </w:r>
      <w:r>
        <w:rPr>
          <w:rFonts w:ascii="Californian FB" w:eastAsia="Times New Roman" w:hAnsi="Californian FB"/>
          <w:b/>
          <w:color w:val="262626" w:themeColor="text1" w:themeTint="D9"/>
          <w:sz w:val="26"/>
          <w:szCs w:val="26"/>
        </w:rPr>
        <w:t>2</w:t>
      </w:r>
      <w:r w:rsidRPr="00942505">
        <w:rPr>
          <w:rFonts w:ascii="Californian FB" w:eastAsia="Times New Roman" w:hAnsi="Californian FB"/>
          <w:b/>
          <w:color w:val="262626" w:themeColor="text1" w:themeTint="D9"/>
          <w:sz w:val="26"/>
          <w:szCs w:val="26"/>
        </w:rPr>
        <w:t xml:space="preserve"> Room and Board Rates</w:t>
      </w:r>
    </w:p>
    <w:p w:rsidR="00BA52B3" w:rsidRDefault="00BA52B3" w:rsidP="00BA52B3">
      <w:pPr>
        <w:jc w:val="center"/>
        <w:rPr>
          <w:rFonts w:ascii="Californian FB" w:eastAsia="Times New Roman" w:hAnsi="Californian FB"/>
          <w:b/>
          <w:color w:val="262626" w:themeColor="text1" w:themeTint="D9"/>
          <w:sz w:val="26"/>
          <w:szCs w:val="26"/>
        </w:rPr>
      </w:pPr>
    </w:p>
    <w:p w:rsidR="00BA52B3" w:rsidRPr="002758A7" w:rsidRDefault="00BA52B3" w:rsidP="00BA52B3">
      <w:pPr>
        <w:shd w:val="clear" w:color="auto" w:fill="FFFFFF"/>
        <w:spacing w:line="235" w:lineRule="atLeast"/>
        <w:rPr>
          <w:rFonts w:ascii="Arial" w:eastAsia="Times New Roman" w:hAnsi="Arial" w:cs="Arial"/>
          <w:color w:val="222222"/>
        </w:rPr>
      </w:pPr>
      <w:r w:rsidRPr="002758A7">
        <w:rPr>
          <w:rFonts w:ascii="Arial" w:eastAsia="Times New Roman" w:hAnsi="Arial" w:cs="Arial"/>
          <w:b/>
          <w:bCs/>
          <w:color w:val="000000"/>
          <w:sz w:val="21"/>
          <w:szCs w:val="21"/>
        </w:rPr>
        <w:t>Beginning the 2021-2022 academic year, the College has adopted a new, simplified approach to room and board billing.</w:t>
      </w:r>
      <w:r w:rsidRPr="002758A7">
        <w:rPr>
          <w:rFonts w:ascii="Arial" w:eastAsia="Times New Roman" w:hAnsi="Arial" w:cs="Arial"/>
          <w:color w:val="000000"/>
          <w:sz w:val="21"/>
          <w:szCs w:val="21"/>
        </w:rPr>
        <w:t>  Rather than separating the room and board charges as separate “Room” and “Board” charges, your bill will only show the combination of the two, listed as “Room and Board.” The rates below represent this combined room and board cost for an entire year. Please feel free to reach out to </w:t>
      </w:r>
      <w:hyperlink r:id="rId5" w:history="1">
        <w:r w:rsidRPr="00B00C54">
          <w:rPr>
            <w:rStyle w:val="Hyperlink"/>
            <w:rFonts w:ascii="Arial" w:eastAsia="Times New Roman" w:hAnsi="Arial" w:cs="Arial"/>
            <w:sz w:val="21"/>
            <w:szCs w:val="21"/>
          </w:rPr>
          <w:t>reslife@saintmarys.edu</w:t>
        </w:r>
      </w:hyperlink>
      <w:r w:rsidRPr="002758A7">
        <w:rPr>
          <w:rFonts w:ascii="Arial" w:eastAsia="Times New Roman" w:hAnsi="Arial" w:cs="Arial"/>
          <w:color w:val="000000"/>
          <w:sz w:val="21"/>
          <w:szCs w:val="21"/>
        </w:rPr>
        <w:t> with any questions, we are always here to help!</w:t>
      </w:r>
    </w:p>
    <w:p w:rsidR="00BA52B3" w:rsidRDefault="00BA52B3" w:rsidP="00BA52B3">
      <w:pPr>
        <w:shd w:val="clear" w:color="auto" w:fill="FFFFFF"/>
        <w:spacing w:line="235" w:lineRule="atLeast"/>
        <w:rPr>
          <w:rFonts w:ascii="Arial" w:eastAsia="Times New Roman" w:hAnsi="Arial" w:cs="Arial"/>
          <w:color w:val="222222"/>
        </w:rPr>
      </w:pPr>
    </w:p>
    <w:p w:rsidR="00BA52B3" w:rsidRPr="002758A7" w:rsidRDefault="00BA52B3" w:rsidP="00BA52B3">
      <w:pPr>
        <w:shd w:val="clear" w:color="auto" w:fill="FFFFFF"/>
        <w:spacing w:line="235" w:lineRule="atLeast"/>
        <w:rPr>
          <w:rFonts w:ascii="Arial" w:eastAsia="Times New Roman" w:hAnsi="Arial" w:cs="Arial"/>
          <w:color w:val="222222"/>
        </w:rPr>
      </w:pPr>
      <w:r w:rsidRPr="002758A7">
        <w:rPr>
          <w:rFonts w:ascii="Arial" w:eastAsia="Times New Roman" w:hAnsi="Arial" w:cs="Arial"/>
          <w:color w:val="222222"/>
        </w:rPr>
        <w:t>Base Price for</w:t>
      </w:r>
      <w:r w:rsidRPr="002758A7">
        <w:rPr>
          <w:rFonts w:ascii="Arial" w:eastAsia="Times New Roman" w:hAnsi="Arial" w:cs="Arial"/>
          <w:b/>
          <w:bCs/>
          <w:color w:val="222222"/>
        </w:rPr>
        <w:t> Room and Board</w:t>
      </w:r>
      <w:r w:rsidRPr="002758A7">
        <w:rPr>
          <w:rFonts w:ascii="Arial" w:eastAsia="Times New Roman" w:hAnsi="Arial" w:cs="Arial"/>
          <w:color w:val="222222"/>
        </w:rPr>
        <w:t>: $13,120</w:t>
      </w:r>
    </w:p>
    <w:p w:rsidR="00BA52B3" w:rsidRDefault="00BA52B3" w:rsidP="00BA52B3">
      <w:pPr>
        <w:shd w:val="clear" w:color="auto" w:fill="FFFFFF"/>
        <w:spacing w:line="235" w:lineRule="atLeast"/>
        <w:rPr>
          <w:rFonts w:ascii="Arial" w:eastAsia="Times New Roman" w:hAnsi="Arial" w:cs="Arial"/>
          <w:color w:val="222222"/>
        </w:rPr>
      </w:pPr>
    </w:p>
    <w:p w:rsidR="00BA52B3" w:rsidRDefault="00BA52B3" w:rsidP="00BA52B3">
      <w:pPr>
        <w:shd w:val="clear" w:color="auto" w:fill="FFFFFF"/>
        <w:spacing w:line="235" w:lineRule="atLeast"/>
        <w:rPr>
          <w:rFonts w:ascii="Arial" w:eastAsia="Times New Roman" w:hAnsi="Arial" w:cs="Arial"/>
          <w:color w:val="222222"/>
        </w:rPr>
      </w:pPr>
      <w:r w:rsidRPr="002758A7">
        <w:rPr>
          <w:rFonts w:ascii="Arial" w:eastAsia="Times New Roman" w:hAnsi="Arial" w:cs="Arial"/>
          <w:color w:val="222222"/>
        </w:rPr>
        <w:t>Additional fees (i.e., "surcharges") in the below amounts will be added for the following room upgrades:</w:t>
      </w:r>
    </w:p>
    <w:p w:rsidR="00BA52B3" w:rsidRPr="002758A7" w:rsidRDefault="00BA52B3" w:rsidP="00BA52B3">
      <w:pPr>
        <w:shd w:val="clear" w:color="auto" w:fill="FFFFFF"/>
        <w:spacing w:line="235" w:lineRule="atLeast"/>
        <w:rPr>
          <w:rFonts w:ascii="Arial" w:eastAsia="Times New Roman" w:hAnsi="Arial" w:cs="Arial"/>
          <w:color w:val="222222"/>
        </w:rPr>
      </w:pPr>
    </w:p>
    <w:p w:rsidR="00BA52B3" w:rsidRPr="002758A7" w:rsidRDefault="00BA52B3" w:rsidP="00BA52B3">
      <w:pPr>
        <w:shd w:val="clear" w:color="auto" w:fill="FFFFFF"/>
        <w:spacing w:line="360" w:lineRule="auto"/>
        <w:rPr>
          <w:rFonts w:ascii="Arial" w:eastAsia="Times New Roman" w:hAnsi="Arial" w:cs="Arial"/>
          <w:color w:val="222222"/>
        </w:rPr>
      </w:pPr>
      <w:r w:rsidRPr="002758A7">
        <w:rPr>
          <w:rFonts w:ascii="Arial" w:eastAsia="Times New Roman" w:hAnsi="Arial" w:cs="Arial"/>
          <w:color w:val="222222"/>
        </w:rPr>
        <w:t>Single: $1,000</w:t>
      </w:r>
    </w:p>
    <w:p w:rsidR="00BA52B3" w:rsidRPr="002758A7" w:rsidRDefault="00BA52B3" w:rsidP="00BA52B3">
      <w:pPr>
        <w:shd w:val="clear" w:color="auto" w:fill="FFFFFF"/>
        <w:spacing w:line="360" w:lineRule="auto"/>
        <w:rPr>
          <w:rFonts w:ascii="Arial" w:eastAsia="Times New Roman" w:hAnsi="Arial" w:cs="Arial"/>
          <w:color w:val="222222"/>
        </w:rPr>
      </w:pPr>
      <w:r w:rsidRPr="002758A7">
        <w:rPr>
          <w:rFonts w:ascii="Arial" w:eastAsia="Times New Roman" w:hAnsi="Arial" w:cs="Arial"/>
          <w:color w:val="222222"/>
        </w:rPr>
        <w:t>Attached Bath: $600</w:t>
      </w:r>
    </w:p>
    <w:p w:rsidR="00BA52B3" w:rsidRPr="002758A7" w:rsidRDefault="00BA52B3" w:rsidP="00BA52B3">
      <w:pPr>
        <w:shd w:val="clear" w:color="auto" w:fill="FFFFFF"/>
        <w:spacing w:line="360" w:lineRule="auto"/>
        <w:rPr>
          <w:rFonts w:ascii="Arial" w:eastAsia="Times New Roman" w:hAnsi="Arial" w:cs="Arial"/>
          <w:color w:val="222222"/>
        </w:rPr>
      </w:pPr>
      <w:r w:rsidRPr="002758A7">
        <w:rPr>
          <w:rFonts w:ascii="Arial" w:eastAsia="Times New Roman" w:hAnsi="Arial" w:cs="Arial"/>
          <w:color w:val="222222"/>
        </w:rPr>
        <w:t>Two-Room Apartment: $3,300</w:t>
      </w:r>
    </w:p>
    <w:p w:rsidR="00BA52B3" w:rsidRPr="002758A7" w:rsidRDefault="00BA52B3" w:rsidP="00BA52B3">
      <w:pPr>
        <w:shd w:val="clear" w:color="auto" w:fill="FFFFFF"/>
        <w:spacing w:line="360" w:lineRule="auto"/>
        <w:rPr>
          <w:rFonts w:ascii="Arial" w:eastAsia="Times New Roman" w:hAnsi="Arial" w:cs="Arial"/>
          <w:color w:val="222222"/>
        </w:rPr>
      </w:pPr>
      <w:r w:rsidRPr="002758A7">
        <w:rPr>
          <w:rFonts w:ascii="Arial" w:eastAsia="Times New Roman" w:hAnsi="Arial" w:cs="Arial"/>
          <w:color w:val="222222"/>
        </w:rPr>
        <w:t>Four-Room Apartment: $1,600</w:t>
      </w:r>
    </w:p>
    <w:p w:rsidR="00BA52B3" w:rsidRDefault="00BA52B3" w:rsidP="00BA52B3"/>
    <w:p w:rsidR="00BA52B3" w:rsidRDefault="00BA52B3" w:rsidP="00BA52B3"/>
    <w:p w:rsidR="00BA52B3" w:rsidRPr="006171C1" w:rsidRDefault="00BA52B3" w:rsidP="00BA52B3"/>
    <w:p w:rsidR="00B62BED" w:rsidRDefault="00BA52B3" w:rsidP="00BA52B3">
      <w:pPr>
        <w:shd w:val="clear" w:color="auto" w:fill="FFFFFF"/>
        <w:spacing w:line="235" w:lineRule="atLeast"/>
      </w:pPr>
      <w:r>
        <w:rPr>
          <w:rFonts w:ascii="Arial" w:eastAsia="Times New Roman" w:hAnsi="Arial" w:cs="Arial"/>
          <w:color w:val="222222"/>
        </w:rPr>
        <w:t>All</w:t>
      </w:r>
      <w:r w:rsidRPr="002758A7">
        <w:rPr>
          <w:rFonts w:ascii="Arial" w:eastAsia="Times New Roman" w:hAnsi="Arial" w:cs="Arial"/>
          <w:color w:val="222222"/>
        </w:rPr>
        <w:t xml:space="preserve"> students living on campus will be required to maintain a full meal plan</w:t>
      </w:r>
      <w:r>
        <w:rPr>
          <w:rFonts w:ascii="Arial" w:eastAsia="Times New Roman" w:hAnsi="Arial" w:cs="Arial"/>
          <w:color w:val="222222"/>
        </w:rPr>
        <w:t xml:space="preserve"> but there will be</w:t>
      </w:r>
      <w:r w:rsidRPr="002758A7">
        <w:rPr>
          <w:rFonts w:ascii="Arial" w:eastAsia="Times New Roman" w:hAnsi="Arial" w:cs="Arial"/>
          <w:color w:val="222222"/>
        </w:rPr>
        <w:t xml:space="preserve"> more flexible options including the option of meal prep kits, enhanced to-go options, and a more robust flex point program. </w:t>
      </w:r>
    </w:p>
    <w:sectPr w:rsidR="00B6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B3"/>
    <w:rsid w:val="00B62BED"/>
    <w:rsid w:val="00BA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09D9"/>
  <w15:chartTrackingRefBased/>
  <w15:docId w15:val="{6D20D567-43F8-459F-AAB6-CDBC0357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2B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life@saintmarys.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Leary</dc:creator>
  <cp:keywords/>
  <dc:description/>
  <cp:lastModifiedBy>Ariel Leary</cp:lastModifiedBy>
  <cp:revision>1</cp:revision>
  <dcterms:created xsi:type="dcterms:W3CDTF">2021-03-02T20:06:00Z</dcterms:created>
  <dcterms:modified xsi:type="dcterms:W3CDTF">2021-03-02T20:08:00Z</dcterms:modified>
</cp:coreProperties>
</file>